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A9B92" w14:textId="77777777" w:rsidR="003937CA" w:rsidRDefault="003937CA" w:rsidP="00415DA3">
      <w:pPr>
        <w:jc w:val="both"/>
        <w:rPr>
          <w:lang w:val="en-US"/>
        </w:rPr>
      </w:pPr>
    </w:p>
    <w:p w14:paraId="52BEDFEB" w14:textId="77777777" w:rsidR="00F50306" w:rsidRDefault="00E74747" w:rsidP="00415DA3">
      <w:pPr>
        <w:jc w:val="both"/>
        <w:rPr>
          <w:lang w:val="en-US"/>
        </w:rPr>
      </w:pPr>
      <w:proofErr w:type="spellStart"/>
      <w:r>
        <w:rPr>
          <w:lang w:val="en-US"/>
        </w:rPr>
        <w:t>Odkaz</w:t>
      </w:r>
      <w:proofErr w:type="spellEnd"/>
      <w:r>
        <w:rPr>
          <w:lang w:val="en-US"/>
        </w:rPr>
        <w:t xml:space="preserve"> </w:t>
      </w:r>
      <w:proofErr w:type="spellStart"/>
      <w:proofErr w:type="gramStart"/>
      <w:r>
        <w:rPr>
          <w:lang w:val="en-US"/>
        </w:rPr>
        <w:t>na</w:t>
      </w:r>
      <w:proofErr w:type="spellEnd"/>
      <w:r>
        <w:rPr>
          <w:lang w:val="en-US"/>
        </w:rPr>
        <w:t xml:space="preserve">  </w:t>
      </w:r>
      <w:proofErr w:type="spellStart"/>
      <w:r>
        <w:rPr>
          <w:lang w:val="en-US"/>
        </w:rPr>
        <w:t>mapy</w:t>
      </w:r>
      <w:proofErr w:type="spellEnd"/>
      <w:proofErr w:type="gramEnd"/>
      <w:r>
        <w:rPr>
          <w:lang w:val="en-US"/>
        </w:rPr>
        <w:t xml:space="preserve"> - </w:t>
      </w:r>
      <w:proofErr w:type="spellStart"/>
      <w:r>
        <w:rPr>
          <w:lang w:val="en-US"/>
        </w:rPr>
        <w:t>vrty</w:t>
      </w:r>
      <w:proofErr w:type="spellEnd"/>
    </w:p>
    <w:p w14:paraId="7FA116D4" w14:textId="77777777" w:rsidR="00F50306" w:rsidRPr="00F50306" w:rsidRDefault="006F3CAA" w:rsidP="00F50306">
      <w:pPr>
        <w:spacing w:line="256" w:lineRule="auto"/>
        <w:rPr>
          <w:rFonts w:ascii="Calibri" w:eastAsia="Calibri" w:hAnsi="Calibri" w:cs="Times New Roman"/>
        </w:rPr>
      </w:pPr>
      <w:hyperlink r:id="rId4" w:history="1">
        <w:r w:rsidR="00F50306" w:rsidRPr="00F50306">
          <w:rPr>
            <w:rFonts w:ascii="Calibri" w:eastAsia="Calibri" w:hAnsi="Calibri" w:cs="Times New Roman"/>
            <w:color w:val="0563C1"/>
            <w:u w:val="single"/>
          </w:rPr>
          <w:t>https://mapy.geology.cz/vrtna_prozkoumanost/</w:t>
        </w:r>
      </w:hyperlink>
    </w:p>
    <w:p w14:paraId="61F5C8C3" w14:textId="77777777" w:rsidR="00F50306" w:rsidRDefault="0035792B" w:rsidP="00415DA3">
      <w:pPr>
        <w:jc w:val="both"/>
        <w:rPr>
          <w:lang w:val="en-US"/>
        </w:rPr>
      </w:pPr>
      <w:r>
        <w:rPr>
          <w:noProof/>
          <w:lang w:eastAsia="cs-CZ"/>
        </w:rPr>
        <w:drawing>
          <wp:anchor distT="0" distB="0" distL="114300" distR="114300" simplePos="0" relativeHeight="251659264" behindDoc="0" locked="0" layoutInCell="1" allowOverlap="1" wp14:anchorId="38D1DB71" wp14:editId="65DC4741">
            <wp:simplePos x="0" y="0"/>
            <wp:positionH relativeFrom="margin">
              <wp:posOffset>-19050</wp:posOffset>
            </wp:positionH>
            <wp:positionV relativeFrom="paragraph">
              <wp:posOffset>57150</wp:posOffset>
            </wp:positionV>
            <wp:extent cx="6210300" cy="5022215"/>
            <wp:effectExtent l="0" t="0" r="0" b="6985"/>
            <wp:wrapThrough wrapText="bothSides">
              <wp:wrapPolygon edited="0">
                <wp:start x="0" y="0"/>
                <wp:lineTo x="0" y="21548"/>
                <wp:lineTo x="21534" y="21548"/>
                <wp:lineTo x="21534"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210300" cy="5022215"/>
                    </a:xfrm>
                    <a:prstGeom prst="rect">
                      <a:avLst/>
                    </a:prstGeom>
                  </pic:spPr>
                </pic:pic>
              </a:graphicData>
            </a:graphic>
            <wp14:sizeRelH relativeFrom="margin">
              <wp14:pctWidth>0</wp14:pctWidth>
            </wp14:sizeRelH>
            <wp14:sizeRelV relativeFrom="margin">
              <wp14:pctHeight>0</wp14:pctHeight>
            </wp14:sizeRelV>
          </wp:anchor>
        </w:drawing>
      </w:r>
    </w:p>
    <w:p w14:paraId="2D23C386" w14:textId="77777777" w:rsidR="00C02AF1" w:rsidRDefault="00C02AF1" w:rsidP="00415DA3">
      <w:pPr>
        <w:jc w:val="both"/>
        <w:rPr>
          <w:lang w:val="en-US"/>
        </w:rPr>
      </w:pPr>
    </w:p>
    <w:p w14:paraId="5010A79F" w14:textId="77777777" w:rsidR="00C02AF1" w:rsidRDefault="00C02AF1" w:rsidP="00415DA3">
      <w:pPr>
        <w:jc w:val="both"/>
        <w:rPr>
          <w:lang w:val="en-US"/>
        </w:rPr>
      </w:pPr>
    </w:p>
    <w:p w14:paraId="29FB6497" w14:textId="77777777" w:rsidR="00C02AF1" w:rsidRDefault="00C02AF1" w:rsidP="00415DA3">
      <w:pPr>
        <w:jc w:val="both"/>
        <w:rPr>
          <w:lang w:val="en-US"/>
        </w:rPr>
      </w:pPr>
    </w:p>
    <w:p w14:paraId="2C4EC8ED" w14:textId="77777777" w:rsidR="00C02AF1" w:rsidRDefault="00E74747" w:rsidP="00415DA3">
      <w:pPr>
        <w:jc w:val="both"/>
        <w:rPr>
          <w:lang w:val="en-US"/>
        </w:rPr>
      </w:pPr>
      <w:r>
        <w:rPr>
          <w:noProof/>
          <w:lang w:val="en-US"/>
        </w:rPr>
        <mc:AlternateContent>
          <mc:Choice Requires="wps">
            <w:drawing>
              <wp:anchor distT="0" distB="0" distL="114300" distR="114300" simplePos="0" relativeHeight="251660288" behindDoc="0" locked="0" layoutInCell="1" allowOverlap="1" wp14:anchorId="4EA67436" wp14:editId="62C50F29">
                <wp:simplePos x="0" y="0"/>
                <wp:positionH relativeFrom="column">
                  <wp:posOffset>3648075</wp:posOffset>
                </wp:positionH>
                <wp:positionV relativeFrom="paragraph">
                  <wp:posOffset>136525</wp:posOffset>
                </wp:positionV>
                <wp:extent cx="1095375" cy="676275"/>
                <wp:effectExtent l="38100" t="19050" r="28575" b="47625"/>
                <wp:wrapNone/>
                <wp:docPr id="4" name="Přímá spojnice se šipkou 4"/>
                <wp:cNvGraphicFramePr/>
                <a:graphic xmlns:a="http://schemas.openxmlformats.org/drawingml/2006/main">
                  <a:graphicData uri="http://schemas.microsoft.com/office/word/2010/wordprocessingShape">
                    <wps:wsp>
                      <wps:cNvCnPr/>
                      <wps:spPr>
                        <a:xfrm flipH="1">
                          <a:off x="0" y="0"/>
                          <a:ext cx="1095375" cy="67627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6CAF0B" id="_x0000_t32" coordsize="21600,21600" o:spt="32" o:oned="t" path="m,l21600,21600e" filled="f">
                <v:path arrowok="t" fillok="f" o:connecttype="none"/>
                <o:lock v:ext="edit" shapetype="t"/>
              </v:shapetype>
              <v:shape id="Přímá spojnice se šipkou 4" o:spid="_x0000_s1026" type="#_x0000_t32" style="position:absolute;margin-left:287.25pt;margin-top:10.75pt;width:86.25pt;height:53.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" strokecolor="red" strokeweight="2.5pt">
                <v:stroke endarrow="block" joinstyle="miter"/>
              </v:shape>
            </w:pict>
          </mc:Fallback>
        </mc:AlternateContent>
      </w:r>
    </w:p>
    <w:p w14:paraId="657EFE4B" w14:textId="77777777" w:rsidR="00C02AF1" w:rsidRDefault="00C02AF1" w:rsidP="00415DA3">
      <w:pPr>
        <w:jc w:val="both"/>
        <w:rPr>
          <w:lang w:val="en-US"/>
        </w:rPr>
      </w:pPr>
    </w:p>
    <w:p w14:paraId="53EE670D" w14:textId="77777777" w:rsidR="00C02AF1" w:rsidRDefault="00E74747" w:rsidP="00415DA3">
      <w:pPr>
        <w:jc w:val="both"/>
        <w:rPr>
          <w:lang w:val="en-US"/>
        </w:rPr>
      </w:pPr>
      <w:r>
        <w:rPr>
          <w:noProof/>
          <w:lang w:val="en-US"/>
        </w:rPr>
        <mc:AlternateContent>
          <mc:Choice Requires="wps">
            <w:drawing>
              <wp:anchor distT="0" distB="0" distL="114300" distR="114300" simplePos="0" relativeHeight="251663360" behindDoc="0" locked="0" layoutInCell="1" allowOverlap="1" wp14:anchorId="3CE3860A" wp14:editId="7F9A07EB">
                <wp:simplePos x="0" y="0"/>
                <wp:positionH relativeFrom="column">
                  <wp:posOffset>3371850</wp:posOffset>
                </wp:positionH>
                <wp:positionV relativeFrom="paragraph">
                  <wp:posOffset>4298950</wp:posOffset>
                </wp:positionV>
                <wp:extent cx="1266825" cy="276225"/>
                <wp:effectExtent l="0" t="0" r="28575" b="28575"/>
                <wp:wrapNone/>
                <wp:docPr id="6" name="Textové pole 6"/>
                <wp:cNvGraphicFramePr/>
                <a:graphic xmlns:a="http://schemas.openxmlformats.org/drawingml/2006/main">
                  <a:graphicData uri="http://schemas.microsoft.com/office/word/2010/wordprocessingShape">
                    <wps:wsp>
                      <wps:cNvSpPr txBox="1"/>
                      <wps:spPr>
                        <a:xfrm>
                          <a:off x="0" y="0"/>
                          <a:ext cx="1266825" cy="276225"/>
                        </a:xfrm>
                        <a:prstGeom prst="rect">
                          <a:avLst/>
                        </a:prstGeom>
                        <a:solidFill>
                          <a:schemeClr val="lt1"/>
                        </a:solidFill>
                        <a:ln w="6350">
                          <a:solidFill>
                            <a:prstClr val="black"/>
                          </a:solidFill>
                        </a:ln>
                      </wps:spPr>
                      <wps:txbx>
                        <w:txbxContent>
                          <w:p w14:paraId="39BF2EDF" w14:textId="77777777" w:rsidR="00E74747" w:rsidRDefault="00E74747">
                            <w:r>
                              <w:t>Vrt RD-</w:t>
                            </w:r>
                            <w:proofErr w:type="gramStart"/>
                            <w:r>
                              <w:t>2a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E3860A" id="_x0000_t202" coordsize="21600,21600" o:spt="202" path="m,l,21600r21600,l21600,xe">
                <v:stroke joinstyle="miter"/>
                <v:path gradientshapeok="t" o:connecttype="rect"/>
              </v:shapetype>
              <v:shape id="Textové pole 6" o:spid="_x0000_s1026" type="#_x0000_t202" style="position:absolute;left:0;text-align:left;margin-left:265.5pt;margin-top:338.5pt;width:99.7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" fillcolor="white [3201]" strokeweight=".5pt">
                <v:textbox>
                  <w:txbxContent>
                    <w:p w14:paraId="39BF2EDF" w14:textId="77777777" w:rsidR="00E74747" w:rsidRDefault="00E74747">
                      <w:r>
                        <w:t>Vrt RD-</w:t>
                      </w:r>
                      <w:proofErr w:type="gramStart"/>
                      <w:r>
                        <w:t>2a</w:t>
                      </w:r>
                      <w:proofErr w:type="gramEnd"/>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532EBDDA" wp14:editId="43363B39">
                <wp:simplePos x="0" y="0"/>
                <wp:positionH relativeFrom="column">
                  <wp:posOffset>2181225</wp:posOffset>
                </wp:positionH>
                <wp:positionV relativeFrom="paragraph">
                  <wp:posOffset>4476115</wp:posOffset>
                </wp:positionV>
                <wp:extent cx="1095375" cy="676275"/>
                <wp:effectExtent l="38100" t="19050" r="28575" b="47625"/>
                <wp:wrapNone/>
                <wp:docPr id="5" name="Přímá spojnice se šipkou 5"/>
                <wp:cNvGraphicFramePr/>
                <a:graphic xmlns:a="http://schemas.openxmlformats.org/drawingml/2006/main">
                  <a:graphicData uri="http://schemas.microsoft.com/office/word/2010/wordprocessingShape">
                    <wps:wsp>
                      <wps:cNvCnPr/>
                      <wps:spPr>
                        <a:xfrm flipH="1">
                          <a:off x="0" y="0"/>
                          <a:ext cx="1095375" cy="676275"/>
                        </a:xfrm>
                        <a:prstGeom prst="straightConnector1">
                          <a:avLst/>
                        </a:prstGeom>
                        <a:noFill/>
                        <a:ln w="31750" cap="flat" cmpd="sng" algn="ctr">
                          <a:solidFill>
                            <a:srgbClr val="FF0000"/>
                          </a:solidFill>
                          <a:prstDash val="solid"/>
                          <a:miter lim="800000"/>
                          <a:tailEnd type="triangle"/>
                        </a:ln>
                        <a:effectLst/>
                      </wps:spPr>
                      <wps:bodyPr/>
                    </wps:wsp>
                  </a:graphicData>
                </a:graphic>
              </wp:anchor>
            </w:drawing>
          </mc:Choice>
          <mc:Fallback>
            <w:pict>
              <v:shape w14:anchorId="72DB77BE" id="Přímá spojnice se šipkou 5" o:spid="_x0000_s1026" type="#_x0000_t32" style="position:absolute;margin-left:171.75pt;margin-top:352.45pt;width:86.25pt;height:53.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" strokecolor="red" strokeweight="2.5pt">
                <v:stroke endarrow="block" joinstyle="miter"/>
              </v:shape>
            </w:pict>
          </mc:Fallback>
        </mc:AlternateContent>
      </w:r>
      <w:r w:rsidR="00C02AF1">
        <w:rPr>
          <w:noProof/>
          <w:lang w:eastAsia="cs-CZ"/>
        </w:rPr>
        <w:drawing>
          <wp:anchor distT="0" distB="0" distL="114300" distR="114300" simplePos="0" relativeHeight="251658240" behindDoc="0" locked="0" layoutInCell="1" allowOverlap="1" wp14:anchorId="128ACA2F" wp14:editId="717B23B2">
            <wp:simplePos x="0" y="0"/>
            <wp:positionH relativeFrom="margin">
              <wp:posOffset>142875</wp:posOffset>
            </wp:positionH>
            <wp:positionV relativeFrom="paragraph">
              <wp:posOffset>3971925</wp:posOffset>
            </wp:positionV>
            <wp:extent cx="5760720" cy="2875280"/>
            <wp:effectExtent l="0" t="0" r="0" b="1270"/>
            <wp:wrapThrough wrapText="bothSides">
              <wp:wrapPolygon edited="0">
                <wp:start x="0" y="0"/>
                <wp:lineTo x="0" y="21466"/>
                <wp:lineTo x="21500" y="21466"/>
                <wp:lineTo x="21500"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2875280"/>
                    </a:xfrm>
                    <a:prstGeom prst="rect">
                      <a:avLst/>
                    </a:prstGeom>
                  </pic:spPr>
                </pic:pic>
              </a:graphicData>
            </a:graphic>
          </wp:anchor>
        </w:drawing>
      </w:r>
    </w:p>
    <w:p w14:paraId="7BF43576" w14:textId="77777777" w:rsidR="00C02AF1" w:rsidRDefault="00C02AF1" w:rsidP="00415DA3">
      <w:pPr>
        <w:jc w:val="both"/>
        <w:rPr>
          <w:noProof/>
          <w:lang w:eastAsia="cs-CZ"/>
        </w:rPr>
      </w:pPr>
      <w:r>
        <w:rPr>
          <w:noProof/>
          <w:lang w:eastAsia="cs-CZ"/>
        </w:rPr>
        <w:lastRenderedPageBreak/>
        <w:drawing>
          <wp:inline distT="0" distB="0" distL="0" distR="0" wp14:anchorId="1C154D77" wp14:editId="784993FC">
            <wp:extent cx="3162300" cy="71247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2300" cy="7124700"/>
                    </a:xfrm>
                    <a:prstGeom prst="rect">
                      <a:avLst/>
                    </a:prstGeom>
                  </pic:spPr>
                </pic:pic>
              </a:graphicData>
            </a:graphic>
          </wp:inline>
        </w:drawing>
      </w:r>
    </w:p>
    <w:p w14:paraId="62B3E49B" w14:textId="77777777" w:rsidR="00C02AF1" w:rsidRDefault="00C02AF1" w:rsidP="00415DA3">
      <w:pPr>
        <w:jc w:val="both"/>
        <w:rPr>
          <w:noProof/>
          <w:lang w:eastAsia="cs-CZ"/>
        </w:rPr>
      </w:pPr>
    </w:p>
    <w:p w14:paraId="2A55E826" w14:textId="77777777" w:rsidR="00C02AF1" w:rsidRDefault="00C02AF1" w:rsidP="00415DA3">
      <w:pPr>
        <w:jc w:val="both"/>
        <w:rPr>
          <w:noProof/>
          <w:lang w:eastAsia="cs-CZ"/>
        </w:rPr>
      </w:pPr>
    </w:p>
    <w:p w14:paraId="3CB7CB7A" w14:textId="77777777" w:rsidR="00C02AF1" w:rsidRDefault="00C02AF1" w:rsidP="00415DA3">
      <w:pPr>
        <w:jc w:val="both"/>
        <w:rPr>
          <w:noProof/>
          <w:lang w:eastAsia="cs-CZ"/>
        </w:rPr>
      </w:pPr>
    </w:p>
    <w:p w14:paraId="7205E0B5" w14:textId="77777777" w:rsidR="00C02AF1" w:rsidRDefault="00C02AF1" w:rsidP="00415DA3">
      <w:pPr>
        <w:jc w:val="both"/>
        <w:rPr>
          <w:lang w:val="en-US"/>
        </w:rPr>
      </w:pPr>
    </w:p>
    <w:p w14:paraId="668A7457" w14:textId="77777777" w:rsidR="00C02AF1" w:rsidRDefault="00C02AF1" w:rsidP="00415DA3">
      <w:pPr>
        <w:jc w:val="both"/>
        <w:rPr>
          <w:lang w:val="en-US"/>
        </w:rPr>
      </w:pPr>
    </w:p>
    <w:p w14:paraId="689E1FB8" w14:textId="77777777" w:rsidR="00C02AF1" w:rsidRDefault="00C02AF1" w:rsidP="00415DA3">
      <w:pPr>
        <w:jc w:val="both"/>
        <w:rPr>
          <w:lang w:val="en-US"/>
        </w:rPr>
      </w:pPr>
    </w:p>
    <w:p w14:paraId="1533C830" w14:textId="77777777" w:rsidR="00C02AF1" w:rsidRDefault="00C02AF1" w:rsidP="00415DA3">
      <w:pPr>
        <w:jc w:val="both"/>
        <w:rPr>
          <w:lang w:val="en-US"/>
        </w:rPr>
      </w:pPr>
    </w:p>
    <w:p w14:paraId="7E9393F4" w14:textId="77777777" w:rsidR="00C02AF1" w:rsidRDefault="00C02AF1" w:rsidP="00415DA3">
      <w:pPr>
        <w:jc w:val="both"/>
        <w:rPr>
          <w:lang w:val="en-US"/>
        </w:rPr>
      </w:pPr>
    </w:p>
    <w:p w14:paraId="7E9FF285" w14:textId="77777777" w:rsidR="00C02AF1" w:rsidRDefault="00C02AF1" w:rsidP="00415DA3">
      <w:pPr>
        <w:jc w:val="both"/>
        <w:rPr>
          <w:lang w:val="en-US"/>
        </w:rPr>
      </w:pPr>
    </w:p>
    <w:p w14:paraId="5927D452" w14:textId="77777777" w:rsidR="0035792B" w:rsidRP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lang w:eastAsia="cs-CZ"/>
        </w:rPr>
      </w:pPr>
      <w:r w:rsidRPr="0035792B">
        <w:rPr>
          <w:rFonts w:ascii="Courier New" w:eastAsia="Times New Roman" w:hAnsi="Courier New" w:cs="Courier New"/>
          <w:b/>
          <w:sz w:val="24"/>
          <w:szCs w:val="24"/>
          <w:lang w:eastAsia="cs-CZ"/>
        </w:rPr>
        <w:lastRenderedPageBreak/>
        <w:t>RD-2 (Radouň)</w:t>
      </w:r>
    </w:p>
    <w:p w14:paraId="68093F4E" w14:textId="77777777" w:rsid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p>
    <w:p w14:paraId="45CE744B" w14:textId="77777777" w:rsidR="0035792B" w:rsidRP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r w:rsidRPr="0035792B">
        <w:rPr>
          <w:rFonts w:ascii="Courier New" w:eastAsia="Times New Roman" w:hAnsi="Courier New" w:cs="Courier New"/>
          <w:sz w:val="24"/>
          <w:szCs w:val="24"/>
          <w:lang w:eastAsia="cs-CZ"/>
        </w:rPr>
        <w:t>Umístění:</w:t>
      </w:r>
    </w:p>
    <w:p w14:paraId="1C503CBC" w14:textId="77777777" w:rsidR="0035792B" w:rsidRP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r w:rsidRPr="0035792B">
        <w:rPr>
          <w:rFonts w:ascii="Courier New" w:eastAsia="Times New Roman" w:hAnsi="Courier New" w:cs="Courier New"/>
          <w:sz w:val="24"/>
          <w:szCs w:val="24"/>
          <w:lang w:eastAsia="cs-CZ"/>
        </w:rPr>
        <w:t xml:space="preserve">Studna RD-2 se nachází ve střední části severních Čech (Česká republika) v lokalitě čerpací stanice Radouň, provozované významnou regionální vodárenskou společností. Lokalita s 3 čerpacími </w:t>
      </w:r>
      <w:r>
        <w:rPr>
          <w:rFonts w:ascii="Courier New" w:eastAsia="Times New Roman" w:hAnsi="Courier New" w:cs="Courier New"/>
          <w:sz w:val="24"/>
          <w:szCs w:val="24"/>
          <w:lang w:eastAsia="cs-CZ"/>
        </w:rPr>
        <w:t>vrty</w:t>
      </w:r>
      <w:r w:rsidRPr="0035792B">
        <w:rPr>
          <w:rFonts w:ascii="Courier New" w:eastAsia="Times New Roman" w:hAnsi="Courier New" w:cs="Courier New"/>
          <w:sz w:val="24"/>
          <w:szCs w:val="24"/>
          <w:lang w:eastAsia="cs-CZ"/>
        </w:rPr>
        <w:t xml:space="preserve"> představuje jeden z několika páteřních vodních zdrojů v regionálním zásobování pitnou vodou, které zajišťují hlavní vodovodní městský a průmyslový areál mezi Mělníkem a Ústí nad Labem. Typické provozní </w:t>
      </w:r>
      <w:r>
        <w:rPr>
          <w:rFonts w:ascii="Courier New" w:eastAsia="Times New Roman" w:hAnsi="Courier New" w:cs="Courier New"/>
          <w:sz w:val="24"/>
          <w:szCs w:val="24"/>
          <w:lang w:eastAsia="cs-CZ"/>
        </w:rPr>
        <w:t>čerpaná množství</w:t>
      </w:r>
      <w:r w:rsidRPr="0035792B">
        <w:rPr>
          <w:rFonts w:ascii="Courier New" w:eastAsia="Times New Roman" w:hAnsi="Courier New" w:cs="Courier New"/>
          <w:sz w:val="24"/>
          <w:szCs w:val="24"/>
          <w:lang w:eastAsia="cs-CZ"/>
        </w:rPr>
        <w:t xml:space="preserve"> jsou velmi </w:t>
      </w:r>
      <w:proofErr w:type="gramStart"/>
      <w:r w:rsidRPr="0035792B">
        <w:rPr>
          <w:rFonts w:ascii="Courier New" w:eastAsia="Times New Roman" w:hAnsi="Courier New" w:cs="Courier New"/>
          <w:sz w:val="24"/>
          <w:szCs w:val="24"/>
          <w:lang w:eastAsia="cs-CZ"/>
        </w:rPr>
        <w:t>vysok</w:t>
      </w:r>
      <w:r>
        <w:rPr>
          <w:rFonts w:ascii="Courier New" w:eastAsia="Times New Roman" w:hAnsi="Courier New" w:cs="Courier New"/>
          <w:sz w:val="24"/>
          <w:szCs w:val="24"/>
          <w:lang w:eastAsia="cs-CZ"/>
        </w:rPr>
        <w:t>á</w:t>
      </w:r>
      <w:r w:rsidRPr="0035792B">
        <w:rPr>
          <w:rFonts w:ascii="Courier New" w:eastAsia="Times New Roman" w:hAnsi="Courier New" w:cs="Courier New"/>
          <w:sz w:val="24"/>
          <w:szCs w:val="24"/>
          <w:lang w:eastAsia="cs-CZ"/>
        </w:rPr>
        <w:t xml:space="preserve"> - až</w:t>
      </w:r>
      <w:proofErr w:type="gramEnd"/>
      <w:r w:rsidRPr="0035792B">
        <w:rPr>
          <w:rFonts w:ascii="Courier New" w:eastAsia="Times New Roman" w:hAnsi="Courier New" w:cs="Courier New"/>
          <w:sz w:val="24"/>
          <w:szCs w:val="24"/>
          <w:lang w:eastAsia="cs-CZ"/>
        </w:rPr>
        <w:t xml:space="preserve"> 55 m3 / h. </w:t>
      </w:r>
      <w:r>
        <w:rPr>
          <w:rFonts w:ascii="Courier New" w:eastAsia="Times New Roman" w:hAnsi="Courier New" w:cs="Courier New"/>
          <w:sz w:val="24"/>
          <w:szCs w:val="24"/>
          <w:lang w:eastAsia="cs-CZ"/>
        </w:rPr>
        <w:t>Vrt</w:t>
      </w:r>
      <w:r w:rsidRPr="0035792B">
        <w:rPr>
          <w:rFonts w:ascii="Courier New" w:eastAsia="Times New Roman" w:hAnsi="Courier New" w:cs="Courier New"/>
          <w:sz w:val="24"/>
          <w:szCs w:val="24"/>
          <w:lang w:eastAsia="cs-CZ"/>
        </w:rPr>
        <w:t xml:space="preserve"> RD-2 </w:t>
      </w:r>
      <w:r>
        <w:rPr>
          <w:rFonts w:ascii="Courier New" w:eastAsia="Times New Roman" w:hAnsi="Courier New" w:cs="Courier New"/>
          <w:sz w:val="24"/>
          <w:szCs w:val="24"/>
          <w:lang w:eastAsia="cs-CZ"/>
        </w:rPr>
        <w:t>je</w:t>
      </w:r>
      <w:r w:rsidRPr="0035792B">
        <w:rPr>
          <w:rFonts w:ascii="Courier New" w:eastAsia="Times New Roman" w:hAnsi="Courier New" w:cs="Courier New"/>
          <w:sz w:val="24"/>
          <w:szCs w:val="24"/>
          <w:lang w:eastAsia="cs-CZ"/>
        </w:rPr>
        <w:t xml:space="preserve"> 50</w:t>
      </w:r>
      <w:r>
        <w:rPr>
          <w:rFonts w:ascii="Courier New" w:eastAsia="Times New Roman" w:hAnsi="Courier New" w:cs="Courier New"/>
          <w:sz w:val="24"/>
          <w:szCs w:val="24"/>
          <w:lang w:eastAsia="cs-CZ"/>
        </w:rPr>
        <w:t>m</w:t>
      </w:r>
      <w:r w:rsidRPr="0035792B">
        <w:rPr>
          <w:rFonts w:ascii="Courier New" w:eastAsia="Times New Roman" w:hAnsi="Courier New" w:cs="Courier New"/>
          <w:sz w:val="24"/>
          <w:szCs w:val="24"/>
          <w:lang w:eastAsia="cs-CZ"/>
        </w:rPr>
        <w:t xml:space="preserve"> </w:t>
      </w:r>
      <w:r>
        <w:rPr>
          <w:rFonts w:ascii="Courier New" w:eastAsia="Times New Roman" w:hAnsi="Courier New" w:cs="Courier New"/>
          <w:sz w:val="24"/>
          <w:szCs w:val="24"/>
          <w:lang w:eastAsia="cs-CZ"/>
        </w:rPr>
        <w:t>hluboký</w:t>
      </w:r>
      <w:r w:rsidRPr="0035792B">
        <w:rPr>
          <w:rFonts w:ascii="Courier New" w:eastAsia="Times New Roman" w:hAnsi="Courier New" w:cs="Courier New"/>
          <w:sz w:val="24"/>
          <w:szCs w:val="24"/>
          <w:lang w:eastAsia="cs-CZ"/>
        </w:rPr>
        <w:t xml:space="preserve"> s překližkov</w:t>
      </w:r>
      <w:r>
        <w:rPr>
          <w:rFonts w:ascii="Courier New" w:eastAsia="Times New Roman" w:hAnsi="Courier New" w:cs="Courier New"/>
          <w:sz w:val="24"/>
          <w:szCs w:val="24"/>
          <w:lang w:eastAsia="cs-CZ"/>
        </w:rPr>
        <w:t>ou</w:t>
      </w:r>
      <w:r w:rsidRPr="0035792B">
        <w:rPr>
          <w:rFonts w:ascii="Courier New" w:eastAsia="Times New Roman" w:hAnsi="Courier New" w:cs="Courier New"/>
          <w:sz w:val="24"/>
          <w:szCs w:val="24"/>
          <w:lang w:eastAsia="cs-CZ"/>
        </w:rPr>
        <w:t xml:space="preserve"> </w:t>
      </w:r>
      <w:r>
        <w:rPr>
          <w:rFonts w:ascii="Courier New" w:eastAsia="Times New Roman" w:hAnsi="Courier New" w:cs="Courier New"/>
          <w:sz w:val="24"/>
          <w:szCs w:val="24"/>
          <w:lang w:eastAsia="cs-CZ"/>
        </w:rPr>
        <w:t>pažnicí.</w:t>
      </w:r>
    </w:p>
    <w:p w14:paraId="4D36C9D2" w14:textId="77777777" w:rsid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p>
    <w:p w14:paraId="49E948BE" w14:textId="77777777" w:rsidR="0035792B" w:rsidRP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r w:rsidRPr="0035792B">
        <w:rPr>
          <w:rFonts w:ascii="Courier New" w:eastAsia="Times New Roman" w:hAnsi="Courier New" w:cs="Courier New"/>
          <w:sz w:val="24"/>
          <w:szCs w:val="24"/>
          <w:lang w:eastAsia="cs-CZ"/>
        </w:rPr>
        <w:t>Geologie a litologie:</w:t>
      </w:r>
    </w:p>
    <w:p w14:paraId="1598777E" w14:textId="77777777" w:rsidR="0035792B" w:rsidRP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r w:rsidRPr="0035792B">
        <w:rPr>
          <w:rFonts w:ascii="Courier New" w:eastAsia="Times New Roman" w:hAnsi="Courier New" w:cs="Courier New"/>
          <w:sz w:val="24"/>
          <w:szCs w:val="24"/>
          <w:lang w:eastAsia="cs-CZ"/>
        </w:rPr>
        <w:t xml:space="preserve">Čerpací místo se nachází v dolní části české křídové pánve v poměrně mělkých pískovcových skalách </w:t>
      </w:r>
      <w:proofErr w:type="spellStart"/>
      <w:r w:rsidRPr="0035792B">
        <w:rPr>
          <w:rFonts w:ascii="Courier New" w:eastAsia="Times New Roman" w:hAnsi="Courier New" w:cs="Courier New"/>
          <w:sz w:val="24"/>
          <w:szCs w:val="24"/>
          <w:lang w:eastAsia="cs-CZ"/>
        </w:rPr>
        <w:t>letomanského</w:t>
      </w:r>
      <w:proofErr w:type="spellEnd"/>
      <w:r w:rsidRPr="0035792B">
        <w:rPr>
          <w:rFonts w:ascii="Courier New" w:eastAsia="Times New Roman" w:hAnsi="Courier New" w:cs="Courier New"/>
          <w:sz w:val="24"/>
          <w:szCs w:val="24"/>
          <w:lang w:eastAsia="cs-CZ"/>
        </w:rPr>
        <w:t xml:space="preserve"> </w:t>
      </w:r>
      <w:r w:rsidR="008D5182">
        <w:rPr>
          <w:rFonts w:ascii="Courier New" w:eastAsia="Times New Roman" w:hAnsi="Courier New" w:cs="Courier New"/>
          <w:sz w:val="24"/>
          <w:szCs w:val="24"/>
          <w:lang w:eastAsia="cs-CZ"/>
        </w:rPr>
        <w:t>stáří</w:t>
      </w:r>
      <w:r w:rsidRPr="0035792B">
        <w:rPr>
          <w:rFonts w:ascii="Courier New" w:eastAsia="Times New Roman" w:hAnsi="Courier New" w:cs="Courier New"/>
          <w:sz w:val="24"/>
          <w:szCs w:val="24"/>
          <w:lang w:eastAsia="cs-CZ"/>
        </w:rPr>
        <w:t xml:space="preserve">. </w:t>
      </w:r>
      <w:r>
        <w:rPr>
          <w:rFonts w:ascii="Courier New" w:eastAsia="Times New Roman" w:hAnsi="Courier New" w:cs="Courier New"/>
          <w:sz w:val="24"/>
          <w:szCs w:val="24"/>
          <w:lang w:eastAsia="cs-CZ"/>
        </w:rPr>
        <w:t>Hladina</w:t>
      </w:r>
      <w:r w:rsidRPr="0035792B">
        <w:rPr>
          <w:rFonts w:ascii="Courier New" w:eastAsia="Times New Roman" w:hAnsi="Courier New" w:cs="Courier New"/>
          <w:sz w:val="24"/>
          <w:szCs w:val="24"/>
          <w:lang w:eastAsia="cs-CZ"/>
        </w:rPr>
        <w:t xml:space="preserve"> podzemní vody je silně omezen</w:t>
      </w:r>
      <w:r>
        <w:rPr>
          <w:rFonts w:ascii="Courier New" w:eastAsia="Times New Roman" w:hAnsi="Courier New" w:cs="Courier New"/>
          <w:sz w:val="24"/>
          <w:szCs w:val="24"/>
          <w:lang w:eastAsia="cs-CZ"/>
        </w:rPr>
        <w:t>a</w:t>
      </w:r>
      <w:r w:rsidRPr="0035792B">
        <w:rPr>
          <w:rFonts w:ascii="Courier New" w:eastAsia="Times New Roman" w:hAnsi="Courier New" w:cs="Courier New"/>
          <w:sz w:val="24"/>
          <w:szCs w:val="24"/>
          <w:lang w:eastAsia="cs-CZ"/>
        </w:rPr>
        <w:t xml:space="preserve"> (i při výskytu artézských studní) s překryvným </w:t>
      </w:r>
      <w:r>
        <w:rPr>
          <w:rFonts w:ascii="Courier New" w:eastAsia="Times New Roman" w:hAnsi="Courier New" w:cs="Courier New"/>
          <w:sz w:val="24"/>
          <w:szCs w:val="24"/>
          <w:lang w:eastAsia="cs-CZ"/>
        </w:rPr>
        <w:t>nepropustným útvarem</w:t>
      </w:r>
      <w:r w:rsidRPr="0035792B">
        <w:rPr>
          <w:rFonts w:ascii="Courier New" w:eastAsia="Times New Roman" w:hAnsi="Courier New" w:cs="Courier New"/>
          <w:sz w:val="24"/>
          <w:szCs w:val="24"/>
          <w:lang w:eastAsia="cs-CZ"/>
        </w:rPr>
        <w:t xml:space="preserve">, který se skládá z turonských slínů a </w:t>
      </w:r>
      <w:proofErr w:type="spellStart"/>
      <w:r w:rsidRPr="0035792B">
        <w:rPr>
          <w:rFonts w:ascii="Courier New" w:eastAsia="Times New Roman" w:hAnsi="Courier New" w:cs="Courier New"/>
          <w:sz w:val="24"/>
          <w:szCs w:val="24"/>
          <w:lang w:eastAsia="cs-CZ"/>
        </w:rPr>
        <w:t>marlitu</w:t>
      </w:r>
      <w:proofErr w:type="spellEnd"/>
      <w:r w:rsidRPr="0035792B">
        <w:rPr>
          <w:rFonts w:ascii="Courier New" w:eastAsia="Times New Roman" w:hAnsi="Courier New" w:cs="Courier New"/>
          <w:sz w:val="24"/>
          <w:szCs w:val="24"/>
          <w:lang w:eastAsia="cs-CZ"/>
        </w:rPr>
        <w:t xml:space="preserve">. Proud podzemní vody je silně vázán na </w:t>
      </w:r>
      <w:r>
        <w:rPr>
          <w:rFonts w:ascii="Courier New" w:eastAsia="Times New Roman" w:hAnsi="Courier New" w:cs="Courier New"/>
          <w:sz w:val="24"/>
          <w:szCs w:val="24"/>
          <w:lang w:eastAsia="cs-CZ"/>
        </w:rPr>
        <w:t>pukliny</w:t>
      </w:r>
      <w:r w:rsidRPr="0035792B">
        <w:rPr>
          <w:rFonts w:ascii="Courier New" w:eastAsia="Times New Roman" w:hAnsi="Courier New" w:cs="Courier New"/>
          <w:sz w:val="24"/>
          <w:szCs w:val="24"/>
          <w:lang w:eastAsia="cs-CZ"/>
        </w:rPr>
        <w:t xml:space="preserve"> v podloží, které tvoří typické filtrační prostředí s dvojitou porézností.</w:t>
      </w:r>
    </w:p>
    <w:p w14:paraId="152CE7C8" w14:textId="77777777" w:rsid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p>
    <w:p w14:paraId="76C4904F" w14:textId="77777777" w:rsid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r w:rsidRPr="0035792B">
        <w:rPr>
          <w:rFonts w:ascii="Courier New" w:eastAsia="Times New Roman" w:hAnsi="Courier New" w:cs="Courier New"/>
          <w:sz w:val="24"/>
          <w:szCs w:val="24"/>
          <w:lang w:eastAsia="cs-CZ"/>
        </w:rPr>
        <w:t>Re</w:t>
      </w:r>
      <w:r>
        <w:rPr>
          <w:rFonts w:ascii="Courier New" w:eastAsia="Times New Roman" w:hAnsi="Courier New" w:cs="Courier New"/>
          <w:sz w:val="24"/>
          <w:szCs w:val="24"/>
          <w:lang w:eastAsia="cs-CZ"/>
        </w:rPr>
        <w:t>generace vrtu</w:t>
      </w:r>
    </w:p>
    <w:p w14:paraId="6DE130CA" w14:textId="77777777" w:rsidR="0035792B" w:rsidRPr="0035792B" w:rsidRDefault="0035792B" w:rsidP="00357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eastAsia="cs-CZ"/>
        </w:rPr>
      </w:pPr>
      <w:r w:rsidRPr="0035792B">
        <w:rPr>
          <w:rFonts w:ascii="Courier New" w:eastAsia="Times New Roman" w:hAnsi="Courier New" w:cs="Courier New"/>
          <w:sz w:val="24"/>
          <w:szCs w:val="24"/>
          <w:lang w:eastAsia="cs-CZ"/>
        </w:rPr>
        <w:t xml:space="preserve">Vzhledem k pochybnostem o odolnosti pláště překližky (resp. </w:t>
      </w:r>
      <w:r>
        <w:rPr>
          <w:rFonts w:ascii="Courier New" w:eastAsia="Times New Roman" w:hAnsi="Courier New" w:cs="Courier New"/>
          <w:sz w:val="24"/>
          <w:szCs w:val="24"/>
          <w:lang w:eastAsia="cs-CZ"/>
        </w:rPr>
        <w:t>t</w:t>
      </w:r>
      <w:r w:rsidRPr="0035792B">
        <w:rPr>
          <w:rFonts w:ascii="Courier New" w:eastAsia="Times New Roman" w:hAnsi="Courier New" w:cs="Courier New"/>
          <w:sz w:val="24"/>
          <w:szCs w:val="24"/>
          <w:lang w:eastAsia="cs-CZ"/>
        </w:rPr>
        <w:t>rvanlivosti specifické pryskyřice vůči kyselinám) byly rehabilitační techniky omezeny na mechanické čerpání sedimentů s</w:t>
      </w:r>
      <w:r>
        <w:rPr>
          <w:rFonts w:ascii="Courier New" w:eastAsia="Times New Roman" w:hAnsi="Courier New" w:cs="Courier New"/>
          <w:sz w:val="24"/>
          <w:szCs w:val="24"/>
          <w:lang w:eastAsia="cs-CZ"/>
        </w:rPr>
        <w:t> </w:t>
      </w:r>
      <w:r w:rsidRPr="0035792B">
        <w:rPr>
          <w:rFonts w:ascii="Courier New" w:eastAsia="Times New Roman" w:hAnsi="Courier New" w:cs="Courier New"/>
          <w:sz w:val="24"/>
          <w:szCs w:val="24"/>
          <w:lang w:eastAsia="cs-CZ"/>
        </w:rPr>
        <w:t>omezen</w:t>
      </w:r>
      <w:r>
        <w:rPr>
          <w:rFonts w:ascii="Courier New" w:eastAsia="Times New Roman" w:hAnsi="Courier New" w:cs="Courier New"/>
          <w:sz w:val="24"/>
          <w:szCs w:val="24"/>
          <w:lang w:eastAsia="cs-CZ"/>
        </w:rPr>
        <w:t>ým čištěním</w:t>
      </w:r>
      <w:r w:rsidRPr="0035792B">
        <w:rPr>
          <w:rFonts w:ascii="Courier New" w:eastAsia="Times New Roman" w:hAnsi="Courier New" w:cs="Courier New"/>
          <w:sz w:val="24"/>
          <w:szCs w:val="24"/>
          <w:lang w:eastAsia="cs-CZ"/>
        </w:rPr>
        <w:t xml:space="preserve"> pomocí nylonových kartáčů. </w:t>
      </w:r>
    </w:p>
    <w:p w14:paraId="0889607D" w14:textId="77777777" w:rsid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p>
    <w:p w14:paraId="5F11D2FD" w14:textId="77777777" w:rsid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p>
    <w:p w14:paraId="047F834B" w14:textId="77777777" w:rsid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p>
    <w:p w14:paraId="666CD71D" w14:textId="77777777" w:rsid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p>
    <w:p w14:paraId="3062E61B" w14:textId="77777777" w:rsid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p>
    <w:p w14:paraId="09492C31" w14:textId="77777777" w:rsid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p>
    <w:p w14:paraId="265AC073" w14:textId="5D2255F9" w:rsidR="006F3CAA" w:rsidRP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r w:rsidRPr="006F3CAA">
        <w:rPr>
          <w:rFonts w:ascii="Courier New" w:eastAsia="Times New Roman" w:hAnsi="Courier New" w:cs="Courier New"/>
          <w:sz w:val="20"/>
          <w:szCs w:val="20"/>
          <w:lang w:val="en" w:eastAsia="cs-CZ"/>
        </w:rPr>
        <w:t>Location:</w:t>
      </w:r>
    </w:p>
    <w:p w14:paraId="0295D519" w14:textId="77777777" w:rsidR="006F3CAA" w:rsidRP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r w:rsidRPr="006F3CAA">
        <w:rPr>
          <w:rFonts w:ascii="Courier New" w:eastAsia="Times New Roman" w:hAnsi="Courier New" w:cs="Courier New"/>
          <w:sz w:val="20"/>
          <w:szCs w:val="20"/>
          <w:lang w:val="en" w:eastAsia="cs-CZ"/>
        </w:rPr>
        <w:t xml:space="preserve">Well RD-2 is located in the central part of northern Bohemia (Czech Republic) in the locality of the </w:t>
      </w:r>
      <w:proofErr w:type="spellStart"/>
      <w:r w:rsidRPr="006F3CAA">
        <w:rPr>
          <w:rFonts w:ascii="Courier New" w:eastAsia="Times New Roman" w:hAnsi="Courier New" w:cs="Courier New"/>
          <w:sz w:val="20"/>
          <w:szCs w:val="20"/>
          <w:lang w:val="en" w:eastAsia="cs-CZ"/>
        </w:rPr>
        <w:t>Radouň</w:t>
      </w:r>
      <w:proofErr w:type="spellEnd"/>
      <w:r w:rsidRPr="006F3CAA">
        <w:rPr>
          <w:rFonts w:ascii="Courier New" w:eastAsia="Times New Roman" w:hAnsi="Courier New" w:cs="Courier New"/>
          <w:sz w:val="20"/>
          <w:szCs w:val="20"/>
          <w:lang w:val="en" w:eastAsia="cs-CZ"/>
        </w:rPr>
        <w:t xml:space="preserve"> gas station, operated by a major regional water company. The location with 3 pumping wells represents one of several backbone </w:t>
      </w:r>
      <w:proofErr w:type="gramStart"/>
      <w:r w:rsidRPr="006F3CAA">
        <w:rPr>
          <w:rFonts w:ascii="Courier New" w:eastAsia="Times New Roman" w:hAnsi="Courier New" w:cs="Courier New"/>
          <w:sz w:val="20"/>
          <w:szCs w:val="20"/>
          <w:lang w:val="en" w:eastAsia="cs-CZ"/>
        </w:rPr>
        <w:t>water</w:t>
      </w:r>
      <w:proofErr w:type="gramEnd"/>
      <w:r w:rsidRPr="006F3CAA">
        <w:rPr>
          <w:rFonts w:ascii="Courier New" w:eastAsia="Times New Roman" w:hAnsi="Courier New" w:cs="Courier New"/>
          <w:sz w:val="20"/>
          <w:szCs w:val="20"/>
          <w:lang w:val="en" w:eastAsia="cs-CZ"/>
        </w:rPr>
        <w:t xml:space="preserve"> sources in the regional drinking water supply, which provide the main urban and industrial water supply area between </w:t>
      </w:r>
      <w:proofErr w:type="spellStart"/>
      <w:r w:rsidRPr="006F3CAA">
        <w:rPr>
          <w:rFonts w:ascii="Courier New" w:eastAsia="Times New Roman" w:hAnsi="Courier New" w:cs="Courier New"/>
          <w:sz w:val="20"/>
          <w:szCs w:val="20"/>
          <w:lang w:val="en" w:eastAsia="cs-CZ"/>
        </w:rPr>
        <w:t>Mělník</w:t>
      </w:r>
      <w:proofErr w:type="spellEnd"/>
      <w:r w:rsidRPr="006F3CAA">
        <w:rPr>
          <w:rFonts w:ascii="Courier New" w:eastAsia="Times New Roman" w:hAnsi="Courier New" w:cs="Courier New"/>
          <w:sz w:val="20"/>
          <w:szCs w:val="20"/>
          <w:lang w:val="en" w:eastAsia="cs-CZ"/>
        </w:rPr>
        <w:t xml:space="preserve"> and </w:t>
      </w:r>
      <w:proofErr w:type="spellStart"/>
      <w:r w:rsidRPr="006F3CAA">
        <w:rPr>
          <w:rFonts w:ascii="Courier New" w:eastAsia="Times New Roman" w:hAnsi="Courier New" w:cs="Courier New"/>
          <w:sz w:val="20"/>
          <w:szCs w:val="20"/>
          <w:lang w:val="en" w:eastAsia="cs-CZ"/>
        </w:rPr>
        <w:t>Ústí</w:t>
      </w:r>
      <w:proofErr w:type="spellEnd"/>
      <w:r w:rsidRPr="006F3CAA">
        <w:rPr>
          <w:rFonts w:ascii="Courier New" w:eastAsia="Times New Roman" w:hAnsi="Courier New" w:cs="Courier New"/>
          <w:sz w:val="20"/>
          <w:szCs w:val="20"/>
          <w:lang w:val="en" w:eastAsia="cs-CZ"/>
        </w:rPr>
        <w:t xml:space="preserve"> </w:t>
      </w:r>
      <w:proofErr w:type="spellStart"/>
      <w:r w:rsidRPr="006F3CAA">
        <w:rPr>
          <w:rFonts w:ascii="Courier New" w:eastAsia="Times New Roman" w:hAnsi="Courier New" w:cs="Courier New"/>
          <w:sz w:val="20"/>
          <w:szCs w:val="20"/>
          <w:lang w:val="en" w:eastAsia="cs-CZ"/>
        </w:rPr>
        <w:t>nad</w:t>
      </w:r>
      <w:proofErr w:type="spellEnd"/>
      <w:r w:rsidRPr="006F3CAA">
        <w:rPr>
          <w:rFonts w:ascii="Courier New" w:eastAsia="Times New Roman" w:hAnsi="Courier New" w:cs="Courier New"/>
          <w:sz w:val="20"/>
          <w:szCs w:val="20"/>
          <w:lang w:val="en" w:eastAsia="cs-CZ"/>
        </w:rPr>
        <w:t xml:space="preserve"> Labem. Typical operating pumped quantities are very high - up to 55 m3 / h. The RD-2 borehole is 50 m deep with plywood casing.</w:t>
      </w:r>
    </w:p>
    <w:p w14:paraId="491CC0FA" w14:textId="77777777" w:rsidR="006F3CAA" w:rsidRP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p>
    <w:p w14:paraId="6F2406B2" w14:textId="77777777" w:rsidR="006F3CAA" w:rsidRP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r w:rsidRPr="006F3CAA">
        <w:rPr>
          <w:rFonts w:ascii="Courier New" w:eastAsia="Times New Roman" w:hAnsi="Courier New" w:cs="Courier New"/>
          <w:sz w:val="20"/>
          <w:szCs w:val="20"/>
          <w:lang w:val="en" w:eastAsia="cs-CZ"/>
        </w:rPr>
        <w:t>Geology and lithology:</w:t>
      </w:r>
    </w:p>
    <w:p w14:paraId="5421BD45" w14:textId="77777777" w:rsidR="006F3CAA" w:rsidRP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r w:rsidRPr="006F3CAA">
        <w:rPr>
          <w:rFonts w:ascii="Courier New" w:eastAsia="Times New Roman" w:hAnsi="Courier New" w:cs="Courier New"/>
          <w:sz w:val="20"/>
          <w:szCs w:val="20"/>
          <w:lang w:val="en" w:eastAsia="cs-CZ"/>
        </w:rPr>
        <w:t xml:space="preserve">The pumping station is located in the lower part of the Czech Cretaceous basin in relatively shallow sandstone rocks of </w:t>
      </w:r>
      <w:proofErr w:type="spellStart"/>
      <w:r w:rsidRPr="006F3CAA">
        <w:rPr>
          <w:rFonts w:ascii="Courier New" w:eastAsia="Times New Roman" w:hAnsi="Courier New" w:cs="Courier New"/>
          <w:sz w:val="20"/>
          <w:szCs w:val="20"/>
          <w:lang w:val="en" w:eastAsia="cs-CZ"/>
        </w:rPr>
        <w:t>Letoman</w:t>
      </w:r>
      <w:proofErr w:type="spellEnd"/>
      <w:r w:rsidRPr="006F3CAA">
        <w:rPr>
          <w:rFonts w:ascii="Courier New" w:eastAsia="Times New Roman" w:hAnsi="Courier New" w:cs="Courier New"/>
          <w:sz w:val="20"/>
          <w:szCs w:val="20"/>
          <w:lang w:val="en" w:eastAsia="cs-CZ"/>
        </w:rPr>
        <w:t xml:space="preserve"> age. The groundwater level is severely limited (even in the presence of artesian wells) with an overlapping impermeable body consisting of Turonian saliva and marlite. The groundwater stream is strongly bound to cracks in the subsoil, which form a typical filtration environment with double porosity.</w:t>
      </w:r>
    </w:p>
    <w:p w14:paraId="2D66DB68" w14:textId="77777777" w:rsidR="006F3CAA" w:rsidRP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p>
    <w:p w14:paraId="5DFBE85D" w14:textId="77777777" w:rsidR="006F3CAA" w:rsidRP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 w:eastAsia="cs-CZ"/>
        </w:rPr>
      </w:pPr>
      <w:r w:rsidRPr="006F3CAA">
        <w:rPr>
          <w:rFonts w:ascii="Courier New" w:eastAsia="Times New Roman" w:hAnsi="Courier New" w:cs="Courier New"/>
          <w:sz w:val="20"/>
          <w:szCs w:val="20"/>
          <w:lang w:val="en" w:eastAsia="cs-CZ"/>
        </w:rPr>
        <w:t>Well regeneration</w:t>
      </w:r>
    </w:p>
    <w:p w14:paraId="240E31D8" w14:textId="77777777" w:rsidR="006F3CAA" w:rsidRPr="006F3CAA" w:rsidRDefault="006F3CAA" w:rsidP="006F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cs-CZ"/>
        </w:rPr>
      </w:pPr>
      <w:r w:rsidRPr="006F3CAA">
        <w:rPr>
          <w:rFonts w:ascii="Courier New" w:eastAsia="Times New Roman" w:hAnsi="Courier New" w:cs="Courier New"/>
          <w:sz w:val="20"/>
          <w:szCs w:val="20"/>
          <w:lang w:val="en" w:eastAsia="cs-CZ"/>
        </w:rPr>
        <w:t>Due to doubts about the resistance of the plywood shell (or the durability of the specific resin to acids), rehabilitation techniques were limited to the mechanical pumping of sediments with limited cleaning using nylon brushes.</w:t>
      </w:r>
    </w:p>
    <w:p w14:paraId="7319AC97" w14:textId="77777777" w:rsidR="00C02AF1" w:rsidRPr="0035792B" w:rsidRDefault="00C02AF1" w:rsidP="00415DA3">
      <w:pPr>
        <w:jc w:val="both"/>
        <w:rPr>
          <w:sz w:val="24"/>
          <w:szCs w:val="24"/>
          <w:lang w:val="en-US"/>
        </w:rPr>
      </w:pPr>
    </w:p>
    <w:p w14:paraId="3AFF1CC2" w14:textId="77777777" w:rsidR="00C02AF1" w:rsidRDefault="00C02AF1" w:rsidP="00415DA3">
      <w:pPr>
        <w:jc w:val="both"/>
        <w:rPr>
          <w:lang w:val="en-US"/>
        </w:rPr>
      </w:pPr>
    </w:p>
    <w:p w14:paraId="67FF1AB6" w14:textId="77777777" w:rsidR="00C02AF1" w:rsidRDefault="00C02AF1" w:rsidP="00415DA3">
      <w:pPr>
        <w:jc w:val="both"/>
        <w:rPr>
          <w:lang w:val="en-US"/>
        </w:rPr>
      </w:pPr>
    </w:p>
    <w:p w14:paraId="40B0A8F6" w14:textId="77777777" w:rsidR="00C02AF1" w:rsidRDefault="00C02AF1" w:rsidP="00415DA3">
      <w:pPr>
        <w:jc w:val="both"/>
        <w:rPr>
          <w:lang w:val="en-US"/>
        </w:rPr>
      </w:pPr>
    </w:p>
    <w:p w14:paraId="544EADF9" w14:textId="77777777" w:rsidR="00C02AF1" w:rsidRDefault="00C02AF1" w:rsidP="00415DA3">
      <w:pPr>
        <w:jc w:val="both"/>
        <w:rPr>
          <w:lang w:val="en-US"/>
        </w:rPr>
      </w:pPr>
    </w:p>
    <w:p w14:paraId="697503AB" w14:textId="77777777" w:rsidR="00C02AF1" w:rsidRDefault="00C02AF1" w:rsidP="00415DA3">
      <w:pPr>
        <w:jc w:val="both"/>
        <w:rPr>
          <w:lang w:val="en-US"/>
        </w:rPr>
      </w:pPr>
    </w:p>
    <w:p w14:paraId="491AABA2" w14:textId="77777777" w:rsidR="00C02AF1" w:rsidRDefault="00C02AF1" w:rsidP="00415DA3">
      <w:pPr>
        <w:jc w:val="both"/>
        <w:rPr>
          <w:lang w:val="en-US"/>
        </w:rPr>
      </w:pPr>
    </w:p>
    <w:p w14:paraId="1F375100" w14:textId="77777777" w:rsidR="00C02AF1" w:rsidRDefault="00C02AF1" w:rsidP="00415DA3">
      <w:pPr>
        <w:jc w:val="both"/>
        <w:rPr>
          <w:lang w:val="en-US"/>
        </w:rPr>
      </w:pPr>
    </w:p>
    <w:p w14:paraId="282B3D1A" w14:textId="77777777" w:rsidR="00C02AF1" w:rsidRDefault="00C02AF1" w:rsidP="00415DA3">
      <w:pPr>
        <w:jc w:val="both"/>
        <w:rPr>
          <w:lang w:val="en-US"/>
        </w:rPr>
      </w:pPr>
    </w:p>
    <w:p w14:paraId="1DD3C898" w14:textId="77777777" w:rsidR="00C02AF1" w:rsidRDefault="00C02AF1" w:rsidP="00415DA3">
      <w:pPr>
        <w:jc w:val="both"/>
        <w:rPr>
          <w:lang w:val="en-US"/>
        </w:rPr>
      </w:pPr>
    </w:p>
    <w:p w14:paraId="60C320E5" w14:textId="77777777" w:rsidR="00C02AF1" w:rsidRDefault="00C02AF1" w:rsidP="00415DA3">
      <w:pPr>
        <w:jc w:val="both"/>
        <w:rPr>
          <w:lang w:val="en-US"/>
        </w:rPr>
      </w:pPr>
    </w:p>
    <w:sectPr w:rsidR="00C02AF1" w:rsidSect="00E747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33F"/>
    <w:rsid w:val="00007601"/>
    <w:rsid w:val="0008254E"/>
    <w:rsid w:val="000C15F1"/>
    <w:rsid w:val="000C5FA2"/>
    <w:rsid w:val="00105243"/>
    <w:rsid w:val="00113772"/>
    <w:rsid w:val="00165E6D"/>
    <w:rsid w:val="001A0862"/>
    <w:rsid w:val="00230F1C"/>
    <w:rsid w:val="0023137C"/>
    <w:rsid w:val="00243CD8"/>
    <w:rsid w:val="002712A0"/>
    <w:rsid w:val="00286FDB"/>
    <w:rsid w:val="002F06F2"/>
    <w:rsid w:val="003259CB"/>
    <w:rsid w:val="0035792B"/>
    <w:rsid w:val="003937CA"/>
    <w:rsid w:val="003B6F45"/>
    <w:rsid w:val="003D56B7"/>
    <w:rsid w:val="00415DA3"/>
    <w:rsid w:val="00464E3F"/>
    <w:rsid w:val="00514602"/>
    <w:rsid w:val="00553AF0"/>
    <w:rsid w:val="00556F55"/>
    <w:rsid w:val="00565024"/>
    <w:rsid w:val="005B12FD"/>
    <w:rsid w:val="00663066"/>
    <w:rsid w:val="006F3CAA"/>
    <w:rsid w:val="00707792"/>
    <w:rsid w:val="007B6703"/>
    <w:rsid w:val="007C7E3D"/>
    <w:rsid w:val="0080233F"/>
    <w:rsid w:val="00807213"/>
    <w:rsid w:val="008272FF"/>
    <w:rsid w:val="00870872"/>
    <w:rsid w:val="008D5182"/>
    <w:rsid w:val="00917E1C"/>
    <w:rsid w:val="009B29C5"/>
    <w:rsid w:val="009B7187"/>
    <w:rsid w:val="00A5016B"/>
    <w:rsid w:val="00A517B7"/>
    <w:rsid w:val="00A72544"/>
    <w:rsid w:val="00AF0481"/>
    <w:rsid w:val="00B11C9E"/>
    <w:rsid w:val="00BE567E"/>
    <w:rsid w:val="00BE6975"/>
    <w:rsid w:val="00C02AF1"/>
    <w:rsid w:val="00C75A8D"/>
    <w:rsid w:val="00C97A96"/>
    <w:rsid w:val="00CF09A7"/>
    <w:rsid w:val="00D01912"/>
    <w:rsid w:val="00D22230"/>
    <w:rsid w:val="00D518D4"/>
    <w:rsid w:val="00E74747"/>
    <w:rsid w:val="00EA336E"/>
    <w:rsid w:val="00F503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61AE3"/>
  <w15:docId w15:val="{8E7F4B14-48D3-4FF5-B813-CC5C51D69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7474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747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166251">
      <w:bodyDiv w:val="1"/>
      <w:marLeft w:val="0"/>
      <w:marRight w:val="0"/>
      <w:marTop w:val="0"/>
      <w:marBottom w:val="0"/>
      <w:divBdr>
        <w:top w:val="none" w:sz="0" w:space="0" w:color="auto"/>
        <w:left w:val="none" w:sz="0" w:space="0" w:color="auto"/>
        <w:bottom w:val="none" w:sz="0" w:space="0" w:color="auto"/>
        <w:right w:val="none" w:sz="0" w:space="0" w:color="auto"/>
      </w:divBdr>
    </w:div>
    <w:div w:id="524637134">
      <w:bodyDiv w:val="1"/>
      <w:marLeft w:val="0"/>
      <w:marRight w:val="0"/>
      <w:marTop w:val="0"/>
      <w:marBottom w:val="0"/>
      <w:divBdr>
        <w:top w:val="none" w:sz="0" w:space="0" w:color="auto"/>
        <w:left w:val="none" w:sz="0" w:space="0" w:color="auto"/>
        <w:bottom w:val="none" w:sz="0" w:space="0" w:color="auto"/>
        <w:right w:val="none" w:sz="0" w:space="0" w:color="auto"/>
      </w:divBdr>
      <w:divsChild>
        <w:div w:id="703406573">
          <w:marLeft w:val="0"/>
          <w:marRight w:val="0"/>
          <w:marTop w:val="0"/>
          <w:marBottom w:val="0"/>
          <w:divBdr>
            <w:top w:val="none" w:sz="0" w:space="0" w:color="auto"/>
            <w:left w:val="none" w:sz="0" w:space="0" w:color="auto"/>
            <w:bottom w:val="none" w:sz="0" w:space="0" w:color="auto"/>
            <w:right w:val="none" w:sz="0" w:space="0" w:color="auto"/>
          </w:divBdr>
        </w:div>
      </w:divsChild>
    </w:div>
    <w:div w:id="1118530258">
      <w:bodyDiv w:val="1"/>
      <w:marLeft w:val="0"/>
      <w:marRight w:val="0"/>
      <w:marTop w:val="0"/>
      <w:marBottom w:val="0"/>
      <w:divBdr>
        <w:top w:val="none" w:sz="0" w:space="0" w:color="auto"/>
        <w:left w:val="none" w:sz="0" w:space="0" w:color="auto"/>
        <w:bottom w:val="none" w:sz="0" w:space="0" w:color="auto"/>
        <w:right w:val="none" w:sz="0" w:space="0" w:color="auto"/>
      </w:divBdr>
    </w:div>
    <w:div w:id="165841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mapy.geology.cz/vrtna_prozkoumanost/" TargetMode="Externa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371</Words>
  <Characters>2193</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Kahuda, Daniel</dc:creator>
  <cp:keywords/>
  <dc:description/>
  <cp:lastModifiedBy>Hana Pechová</cp:lastModifiedBy>
  <cp:revision>3</cp:revision>
  <dcterms:created xsi:type="dcterms:W3CDTF">2019-04-02T16:18:00Z</dcterms:created>
  <dcterms:modified xsi:type="dcterms:W3CDTF">2021-01-31T14:40:00Z</dcterms:modified>
</cp:coreProperties>
</file>